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Compliance Board Report — Q1 2026</w:t>
      </w:r>
    </w:p>
    <w:p>
      <w:pPr>
        <w:ind w:left="720"/>
      </w:pPr>
      <w:r>
        <w:rPr>
          <w:i/>
          <w:color w:val="666666"/>
        </w:rPr>
        <w:t xml:space="preserve">**Prepared for:** Board of Directors, Acme Inc</w:t>
      </w:r>
    </w:p>
    <w:p>
      <w:pPr>
        <w:ind w:left="720"/>
      </w:pPr>
      <w:r>
        <w:rPr>
          <w:i/>
          <w:color w:val="666666"/>
        </w:rPr>
        <w:t xml:space="preserve">**Report Period:** Q1 2026</w:t>
      </w:r>
    </w:p>
    <w:p>
      <w:pPr>
        <w:ind w:left="720"/>
      </w:pPr>
      <w:r>
        <w:rPr>
          <w:i/>
          <w:color w:val="666666"/>
        </w:rPr>
        <w:t xml:space="preserve">**Classification:** Confidential — Board Use Only</w:t>
      </w:r>
    </w:p>
    <w:p>
      <w:pPr>
        <w:ind w:left="720"/>
      </w:pPr>
      <w:r>
        <w:rPr>
          <w:i/>
          <w:color w:val="666666"/>
        </w:rPr>
        <w:t xml:space="preserve">**Prepared on:** 2026-03-19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1. Executive Summary</w:t>
      </w:r>
    </w:p>
    <w:p>
      <w:r>
        <w:t xml:space="preserve">Acme Inc operates a technology stack comprising 8 third-party services across 7 categories. This report provides an overview of our compliance posture, key risks, regulatory developments, and budget status for Q1 2026.</w:t>
      </w:r>
    </w:p>
    <w:p>
      <w:pPr>
        <w:pStyle w:val="Heading3"/>
      </w:pPr>
      <w:r>
        <w:t>Key Metrics at a Glance</w:t>
      </w:r>
    </w:p>
    <w:p>
      <w:r>
        <w:rPr>
          <w:sz w:val="20"/>
        </w:rPr>
        <w:t xml:space="preserve">Metric  |  Status</w:t>
      </w:r>
    </w:p>
    <w:p>
      <w:r>
        <w:rPr>
          <w:sz w:val="20"/>
        </w:rPr>
        <w:t xml:space="preserve">**Overall Risk Level**  |  🔴 Critical</w:t>
      </w:r>
    </w:p>
    <w:p>
      <w:r>
        <w:rPr>
          <w:sz w:val="20"/>
        </w:rPr>
        <w:t xml:space="preserve">**Third-Party Services**  |  8</w:t>
      </w:r>
    </w:p>
    <w:p>
      <w:r>
        <w:rPr>
          <w:sz w:val="20"/>
        </w:rPr>
        <w:t xml:space="preserve">**Data Processing Categories**  |  7</w:t>
      </w:r>
    </w:p>
    <w:p>
      <w:r>
        <w:rPr>
          <w:sz w:val="20"/>
        </w:rPr>
        <w:t xml:space="preserve">**Data Categories Detected**  |  9</w:t>
      </w:r>
    </w:p>
    <w:p>
      <w:r>
        <w:rPr>
          <w:sz w:val="20"/>
        </w:rPr>
        <w:t xml:space="preserve">**Compliance Documents Generated**  |  Auto-generated via Codepliant</w:t>
      </w:r>
    </w:p>
    <w:p>
      <w:r>
        <w:rPr>
          <w:sz w:val="20"/>
        </w:rPr>
        <w:t xml:space="preserve">**AI Services Active**  |  Yes</w:t>
      </w:r>
    </w:p>
    <w:p>
      <w:r>
        <w:rPr>
          <w:sz w:val="20"/>
        </w:rPr>
        <w:t xml:space="preserve">**Payment Processing**  |  Yes</w:t>
      </w:r>
    </w:p>
    <w:p>
      <w:r>
        <w:rPr>
          <w:sz w:val="20"/>
        </w:rPr>
        <w:t xml:space="preserve">**Open Incidents**  |  [To be filled by compliance team]</w:t>
      </w:r>
    </w:p>
    <w:p>
      <w:r>
        <w:rPr>
          <w:sz w:val="20"/>
        </w:rPr>
        <w:t xml:space="preserve">**DSARs This Quarter**  |  [To be filled by compliance team]</w:t>
      </w:r>
    </w:p>
    <w:p>
      <w:pPr>
        <w:pStyle w:val="Heading3"/>
      </w:pPr>
      <w:r>
        <w:t>Board Action Items</w:t>
      </w:r>
    </w:p>
    <w:p>
      <w:pPr>
        <w:pStyle w:val="ListParagraph"/>
        <w:numPr>
          <w:ilvl w:val="0"/>
          <w:numId w:val="1"/>
        </w:numPr>
      </w:pPr>
      <w:r>
        <w:t xml:space="preserve">[ ] Review and approve updated compliance budget</w:t>
      </w:r>
    </w:p>
    <w:p>
      <w:pPr>
        <w:pStyle w:val="ListParagraph"/>
        <w:numPr>
          <w:ilvl w:val="0"/>
          <w:numId w:val="1"/>
        </w:numPr>
      </w:pPr>
      <w:r>
        <w:t xml:space="preserve">[ ] Acknowledge risk register updates</w:t>
      </w:r>
    </w:p>
    <w:p>
      <w:pPr>
        <w:pStyle w:val="ListParagraph"/>
        <w:numPr>
          <w:ilvl w:val="0"/>
          <w:numId w:val="1"/>
        </w:numPr>
      </w:pPr>
      <w:r>
        <w:t xml:space="preserve">[ ] Approve AI governance framework and risk classification</w:t>
      </w:r>
    </w:p>
    <w:p>
      <w:pPr>
        <w:pStyle w:val="ListParagraph"/>
        <w:numPr>
          <w:ilvl w:val="0"/>
          <w:numId w:val="1"/>
        </w:numPr>
      </w:pPr>
      <w:r>
        <w:t xml:space="preserve">[ ] Review EU AI Act readiness status</w:t>
      </w:r>
    </w:p>
    <w:p>
      <w:pPr>
        <w:pStyle w:val="ListParagraph"/>
        <w:numPr>
          <w:ilvl w:val="0"/>
          <w:numId w:val="1"/>
        </w:numPr>
      </w:pPr>
      <w:r>
        <w:t xml:space="preserve">[ ] Confirm PCI DSS compliance status</w:t>
      </w:r>
    </w:p>
    <w:p>
      <w:pPr>
        <w:pStyle w:val="ListParagraph"/>
        <w:numPr>
          <w:ilvl w:val="0"/>
          <w:numId w:val="1"/>
        </w:numPr>
      </w:pPr>
      <w:r>
        <w:t xml:space="preserve">[ ] Approve vendor risk acceptance for Critical/High-tier vendors</w:t>
      </w:r>
    </w:p>
    <w:p>
      <w:pPr>
        <w:pStyle w:val="ListParagraph"/>
        <w:numPr>
          <w:ilvl w:val="0"/>
          <w:numId w:val="1"/>
        </w:numPr>
      </w:pPr>
      <w:r>
        <w:t xml:space="preserve">[ ] Schedule next quarterly compliance review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2. Risk Heatmap</w:t>
      </w:r>
    </w:p>
    <w:p>
      <w:pPr>
        <w:pStyle w:val="Heading3"/>
      </w:pPr>
      <w:r>
        <w:t>Likelihood vs Impact Matrix</w:t>
      </w:r>
    </w:p>
    <w:p>
      <w:pPr>
        <w:pStyle w:val="Code"/>
      </w:pPr>
      <w:r>
        <w:rPr>
          <w:rFonts w:ascii="Courier New" w:hAnsi="Courier New"/>
          <w:sz w:val="18"/>
        </w:rPr>
        <w:t xml:space="preserve">Impact →    Low         Medium      High        Critical</w:t>
      </w:r>
    </w:p>
    <w:p>
      <w:pPr>
        <w:pStyle w:val="Code"/>
      </w:pPr>
      <w:r>
        <w:rPr>
          <w:rFonts w:ascii="Courier New" w:hAnsi="Courier New"/>
          <w:sz w:val="18"/>
        </w:rPr>
        <w:t xml:space="preserve">Likelihood</w:t>
      </w:r>
    </w:p>
    <w:p>
      <w:pPr>
        <w:pStyle w:val="Code"/>
      </w:pPr>
      <w:r>
        <w:rPr>
          <w:rFonts w:ascii="Courier New" w:hAnsi="Courier New"/>
          <w:sz w:val="18"/>
        </w:rPr>
        <w:t xml:space="preserve">  ↓</w:t>
      </w:r>
    </w:p>
    <w:p>
      <w:pPr>
        <w:pStyle w:val="Code"/>
      </w:pPr>
      <w:r>
        <w:rPr>
          <w:rFonts w:ascii="Courier New" w:hAnsi="Courier New"/>
          <w:sz w:val="18"/>
        </w:rPr>
        <w:t xml:space="preserve">  High     │ Analytics  │ Auth breach │ AI misuse   │ Payment fraud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  Medium   │ Cookie     │ DSAR delay  │ Data breach │ Regulatory   │</w:t>
      </w:r>
    </w:p>
    <w:p>
      <w:pPr>
        <w:pStyle w:val="Code"/>
      </w:pPr>
      <w:r>
        <w:rPr>
          <w:rFonts w:ascii="Courier New" w:hAnsi="Courier New"/>
          <w:sz w:val="18"/>
        </w:rPr>
        <w:t xml:space="preserve">  Low      │ Config     │ Vendor risk │ Compliance  │ Class action │</w:t>
      </w:r>
    </w:p>
    <w:p>
      <w:pPr>
        <w:pStyle w:val="Heading3"/>
      </w:pPr>
      <w:r>
        <w:t>Risk by Service Category</w:t>
      </w:r>
    </w:p>
    <w:p>
      <w:r>
        <w:rPr>
          <w:sz w:val="20"/>
        </w:rPr>
        <w:t xml:space="preserve">Category  |  Services  |  Risk Level  |  Key Concern</w:t>
      </w:r>
    </w:p>
    <w:p>
      <w:r>
        <w:rPr>
          <w:sz w:val="20"/>
        </w:rPr>
        <w:t xml:space="preserve">AI / Machine Learning  |  1  |  High  |  EU AI Act compliance, bias, hallucination risk</w:t>
      </w:r>
    </w:p>
    <w:p>
      <w:r>
        <w:rPr>
          <w:sz w:val="20"/>
        </w:rPr>
        <w:t xml:space="preserve">Payment Processing  |  2  |  High  |  PCI DSS compliance, fraud liability</w:t>
      </w:r>
    </w:p>
    <w:p>
      <w:r>
        <w:rPr>
          <w:sz w:val="20"/>
        </w:rPr>
        <w:t xml:space="preserve">Authentication  |  1  |  Medium  |  Credential breach, account takeover</w:t>
      </w:r>
    </w:p>
    <w:p>
      <w:r>
        <w:rPr>
          <w:sz w:val="20"/>
        </w:rPr>
        <w:t xml:space="preserve">Analytics  |  1  |  Medium  |  Cookie consent, cross-border transfers</w:t>
      </w:r>
    </w:p>
    <w:p>
      <w:r>
        <w:rPr>
          <w:sz w:val="20"/>
        </w:rPr>
        <w:t xml:space="preserve">Monitoring  |  1  |  Low  |  Data minimization, retention</w:t>
      </w:r>
    </w:p>
    <w:p>
      <w:r>
        <w:rPr>
          <w:sz w:val="20"/>
        </w:rPr>
        <w:t xml:space="preserve">Database  |  1  |  Medium  |  Vendor dependency, data processing</w:t>
      </w:r>
    </w:p>
    <w:p>
      <w:r>
        <w:rPr>
          <w:sz w:val="20"/>
        </w:rPr>
        <w:t xml:space="preserve">Email  |  1  |  Medium  |  Vendor dependency, data processing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3. Regulatory Updates</w:t>
      </w:r>
    </w:p>
    <w:p>
      <w:r>
        <w:t xml:space="preserve">Key regulatory developments relevant to Acme Inc this quarter:</w:t>
      </w:r>
    </w:p>
    <w:p>
      <w:pPr>
        <w:pStyle w:val="Heading3"/>
      </w:pPr>
      <w:r>
        <w:t>Active Regulations</w:t>
      </w:r>
    </w:p>
    <w:p>
      <w:r>
        <w:rPr>
          <w:sz w:val="20"/>
        </w:rPr>
        <w:t xml:space="preserve">Regulation  |  Status  |  Impact on ${company}  |  Action Required</w:t>
      </w:r>
    </w:p>
    <w:p>
      <w:r>
        <w:rPr>
          <w:sz w:val="20"/>
        </w:rPr>
        <w:t xml:space="preserve">GDPR (EU)  |  **Active**  |  Direct — EU data subjects  |  Ongoing compliance monitoring</w:t>
      </w:r>
    </w:p>
    <w:p>
      <w:r>
        <w:rPr>
          <w:sz w:val="20"/>
        </w:rPr>
        <w:t xml:space="preserve">UK GDPR  |  **Active**  |  Direct — UK data subjects  |  Separate adequacy assessment</w:t>
      </w:r>
    </w:p>
    <w:p>
      <w:r>
        <w:rPr>
          <w:sz w:val="20"/>
        </w:rPr>
        <w:t xml:space="preserve">EU AI Act  |  **Phasing in**  |  Direct — AI service providers  |  Risk classification + conformity assessment</w:t>
      </w:r>
    </w:p>
    <w:p>
      <w:r>
        <w:rPr>
          <w:sz w:val="20"/>
        </w:rPr>
        <w:t xml:space="preserve">Colorado AI Act  |  **Effective 2026**  |  Monitor — US AI regulation  |  Impact assessment for high-risk AI</w:t>
      </w:r>
    </w:p>
    <w:p>
      <w:r>
        <w:rPr>
          <w:sz w:val="20"/>
        </w:rPr>
        <w:t xml:space="preserve">PCI DSS v4.0  |  **Active**  |  Direct — payment processing  |  Annual compliance assessment</w:t>
      </w:r>
    </w:p>
    <w:p>
      <w:r>
        <w:rPr>
          <w:sz w:val="20"/>
        </w:rPr>
        <w:t xml:space="preserve">NIS2 Directive  |  **Active (EU)**  |  Monitor — network security  |  Security measures review</w:t>
      </w:r>
    </w:p>
    <w:p>
      <w:r>
        <w:rPr>
          <w:sz w:val="20"/>
        </w:rPr>
        <w:t xml:space="preserve">DORA (EU)  |  **Active**  |  Monitor — digital operational resilience  |  ICT risk management</w:t>
      </w:r>
    </w:p>
    <w:p>
      <w:pPr>
        <w:pStyle w:val="Heading3"/>
      </w:pPr>
      <w:r>
        <w:t>Upcoming Changes</w:t>
      </w:r>
    </w:p>
    <w:p>
      <w:pPr>
        <w:pStyle w:val="ListParagraph"/>
        <w:numPr>
          <w:ilvl w:val="0"/>
          <w:numId w:val="1"/>
        </w:numPr>
      </w:pPr>
      <w:r>
        <w:t xml:space="preserve">**EU AI Act enforcement timeline:** Prohibited AI practices (Feb 2025), GPAI obligations (Aug 2025), Full enforcement (Aug 2026)</w:t>
      </w:r>
    </w:p>
    <w:p>
      <w:pPr>
        <w:pStyle w:val="ListParagraph"/>
        <w:numPr>
          <w:ilvl w:val="0"/>
          <w:numId w:val="1"/>
        </w:numPr>
      </w:pPr>
      <w:r>
        <w:t xml:space="preserve">**ePrivacy Regulation:** Still in legislative process; expected to replace ePrivacy Directive</w:t>
      </w:r>
    </w:p>
    <w:p>
      <w:pPr>
        <w:pStyle w:val="ListParagraph"/>
        <w:numPr>
          <w:ilvl w:val="0"/>
          <w:numId w:val="1"/>
        </w:numPr>
      </w:pPr>
      <w:r>
        <w:t xml:space="preserve">**US Federal Privacy:** American Privacy Rights Act (APRA) — monitoring for progress</w:t>
      </w:r>
    </w:p>
    <w:p>
      <w:pPr>
        <w:pStyle w:val="ListParagraph"/>
        <w:numPr>
          <w:ilvl w:val="0"/>
          <w:numId w:val="1"/>
        </w:numPr>
      </w:pPr>
      <w:r>
        <w:t xml:space="preserve">**State-level privacy laws:** New state laws coming into effect annually; monitor for applicability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4. Budget vs Actual</w:t>
      </w:r>
    </w:p>
    <w:p>
      <w:pPr>
        <w:ind w:left="720"/>
      </w:pPr>
      <w:r>
        <w:rPr>
          <w:i/>
          <w:color w:val="666666"/>
        </w:rPr>
        <w:t xml:space="preserve">**Tier:** Enterprise | **Total Annual Budget:** $390,000</w:t>
      </w:r>
    </w:p>
    <w:p>
      <w:r>
        <w:rPr>
          <w:sz w:val="20"/>
        </w:rPr>
        <w:t xml:space="preserve">Category  |  Annual Budget  |  YTD Actual  |  YTD Budget  |  Variance</w:t>
      </w:r>
    </w:p>
    <w:p>
      <w:r>
        <w:rPr>
          <w:sz w:val="20"/>
        </w:rPr>
        <w:t xml:space="preserve">Legal &amp; Advisory  |  $100,000  |  [Actual]  |  $25,000  |  [Variance]</w:t>
      </w:r>
    </w:p>
    <w:p>
      <w:r>
        <w:rPr>
          <w:sz w:val="20"/>
        </w:rPr>
        <w:t xml:space="preserve">Tools &amp; Software  |  $60,000  |  [Actual]  |  $15,000  |  [Variance]</w:t>
      </w:r>
    </w:p>
    <w:p>
      <w:r>
        <w:rPr>
          <w:sz w:val="20"/>
        </w:rPr>
        <w:t xml:space="preserve">Training &amp; Awareness  |  $30,000  |  [Actual]  |  $7,500  |  [Variance]</w:t>
      </w:r>
    </w:p>
    <w:p>
      <w:r>
        <w:rPr>
          <w:sz w:val="20"/>
        </w:rPr>
        <w:t xml:space="preserve">Audit &amp; Certification  |  $150,000  |  [Actual]  |  $37,500  |  [Variance]</w:t>
      </w:r>
    </w:p>
    <w:p>
      <w:r>
        <w:rPr>
          <w:sz w:val="20"/>
        </w:rPr>
        <w:t xml:space="preserve">Insurance  |  $50,000  |  [Actual]  |  $12,500  |  [Variance]</w:t>
      </w:r>
    </w:p>
    <w:p>
      <w:r>
        <w:rPr>
          <w:sz w:val="20"/>
        </w:rPr>
        <w:t xml:space="preserve">**Total**  |  **$390,000**  |  **[Actual]**  |  **$97,500**  |  **[Variance]**</w:t>
      </w:r>
    </w:p>
    <w:p>
      <w:pPr>
        <w:ind w:left="720"/>
      </w:pPr>
      <w:r>
        <w:rPr>
          <w:i/>
          <w:color w:val="666666"/>
        </w:rPr>
        <w:t xml:space="preserve">**Note:** Fill in actual spend figures from your finance team. Codepliant generates the budget framework; actual tracking requires manual input.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5. Compliance Program Status</w:t>
      </w:r>
    </w:p>
    <w:p>
      <w:pPr>
        <w:pStyle w:val="Heading3"/>
      </w:pPr>
      <w:r>
        <w:t>Document Coverage</w:t>
      </w:r>
    </w:p>
    <w:p>
      <w:r>
        <w:rPr>
          <w:sz w:val="20"/>
        </w:rPr>
        <w:t xml:space="preserve">Area  |  Documents Generated  |  Status</w:t>
      </w:r>
    </w:p>
    <w:p>
      <w:r>
        <w:rPr>
          <w:sz w:val="20"/>
        </w:rPr>
        <w:t xml:space="preserve">Privacy &amp; Data Protection  |  Privacy Policy, DPA, DSAR Guide, Cookie Policy  |  Generated</w:t>
      </w:r>
    </w:p>
    <w:p>
      <w:r>
        <w:rPr>
          <w:sz w:val="20"/>
        </w:rPr>
        <w:t xml:space="preserve">Security  |  Security Policy, Incident Response, Access Control  |  Generated</w:t>
      </w:r>
    </w:p>
    <w:p>
      <w:r>
        <w:rPr>
          <w:sz w:val="20"/>
        </w:rPr>
        <w:t xml:space="preserve">Legal  |  Terms of Service, Acceptable Use, Refund Policy  |  Generated</w:t>
      </w:r>
    </w:p>
    <w:p>
      <w:r>
        <w:rPr>
          <w:sz w:val="20"/>
        </w:rPr>
        <w:t xml:space="preserve">AI Compliance  |  AI Disclosure, AI Model Card, AI Governance  |  Generated</w:t>
      </w:r>
    </w:p>
    <w:p>
      <w:r>
        <w:rPr>
          <w:sz w:val="20"/>
        </w:rPr>
        <w:t xml:space="preserve">Vendor Management  |  Vendor Contacts, Sub-Processor List, Vendor Onboarding  |  Generated</w:t>
      </w:r>
    </w:p>
    <w:p>
      <w:r>
        <w:rPr>
          <w:sz w:val="20"/>
        </w:rPr>
        <w:t xml:space="preserve">Audit &amp; Certification  |  SOC 2 Checklist, ISO 27001, Risk Register  |  Generated</w:t>
      </w:r>
    </w:p>
    <w:p>
      <w:pPr>
        <w:pStyle w:val="Heading3"/>
      </w:pPr>
      <w:r>
        <w:t>Key Achievements This Quarter</w:t>
      </w:r>
    </w:p>
    <w:p>
      <w:pPr>
        <w:pStyle w:val="ListParagraph"/>
        <w:numPr>
          <w:ilvl w:val="0"/>
          <w:numId w:val="1"/>
        </w:numPr>
      </w:pPr>
      <w:r>
        <w:t xml:space="preserve">[ ] [Fill in completed compliance initiatives]</w:t>
      </w:r>
    </w:p>
    <w:p>
      <w:pPr>
        <w:pStyle w:val="ListParagraph"/>
        <w:numPr>
          <w:ilvl w:val="0"/>
          <w:numId w:val="1"/>
        </w:numPr>
      </w:pPr>
      <w:r>
        <w:t xml:space="preserve">[ ] [Fill in resolved audit findings]</w:t>
      </w:r>
    </w:p>
    <w:p>
      <w:pPr>
        <w:pStyle w:val="ListParagraph"/>
        <w:numPr>
          <w:ilvl w:val="0"/>
          <w:numId w:val="1"/>
        </w:numPr>
      </w:pPr>
      <w:r>
        <w:t xml:space="preserve">[ ] [Fill in completed training programs]</w:t>
      </w:r>
    </w:p>
    <w:p>
      <w:pPr>
        <w:pStyle w:val="ListParagraph"/>
        <w:numPr>
          <w:ilvl w:val="0"/>
          <w:numId w:val="1"/>
        </w:numPr>
      </w:pPr>
      <w:r>
        <w:t xml:space="preserve">[ ] [Fill in vendor assessments completed]</w:t>
      </w:r>
    </w:p>
    <w:p>
      <w:pPr>
        <w:pStyle w:val="Heading3"/>
      </w:pPr>
      <w:r>
        <w:t>Planned for Next Quarter</w:t>
      </w:r>
    </w:p>
    <w:p>
      <w:pPr>
        <w:pStyle w:val="ListParagraph"/>
        <w:numPr>
          <w:ilvl w:val="0"/>
          <w:numId w:val="1"/>
        </w:numPr>
      </w:pPr>
      <w:r>
        <w:t xml:space="preserve">[ ] [Fill in planned compliance initiatives]</w:t>
      </w:r>
    </w:p>
    <w:p>
      <w:pPr>
        <w:pStyle w:val="ListParagraph"/>
        <w:numPr>
          <w:ilvl w:val="0"/>
          <w:numId w:val="1"/>
        </w:numPr>
      </w:pPr>
      <w:r>
        <w:t xml:space="preserve">[ ] [Fill in upcoming audits or assessments]</w:t>
      </w:r>
    </w:p>
    <w:p>
      <w:pPr>
        <w:pStyle w:val="ListParagraph"/>
        <w:numPr>
          <w:ilvl w:val="0"/>
          <w:numId w:val="1"/>
        </w:numPr>
      </w:pPr>
      <w:r>
        <w:t xml:space="preserve">[ ] [Fill in planned policy updates]</w:t>
      </w:r>
    </w:p>
    <w:p>
      <w:pPr>
        <w:pStyle w:val="ListParagraph"/>
        <w:numPr>
          <w:ilvl w:val="0"/>
          <w:numId w:val="1"/>
        </w:numPr>
      </w:pPr>
      <w:r>
        <w:t xml:space="preserve">[ ] [Fill in training schedule]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6. Incident &amp; DSAR Summary</w:t>
      </w:r>
    </w:p>
    <w:p>
      <w:pPr>
        <w:pStyle w:val="Heading3"/>
      </w:pPr>
      <w:r>
        <w:t>Security Incidents</w:t>
      </w:r>
    </w:p>
    <w:p>
      <w:r>
        <w:rPr>
          <w:sz w:val="20"/>
        </w:rPr>
        <w:t xml:space="preserve">#  |  Date  |  Severity  |  Description  |  Status  |  Resolution Time</w:t>
      </w:r>
    </w:p>
    <w:p>
      <w:r>
        <w:rPr>
          <w:sz w:val="20"/>
        </w:rPr>
        <w:t xml:space="preserve">1  |  [Date]  |  [P0-P4]  |  [Description]  |  [Open/Closed]  |  [Duration]</w:t>
      </w:r>
    </w:p>
    <w:p>
      <w:pPr>
        <w:ind w:left="720"/>
      </w:pPr>
      <w:r>
        <w:rPr>
          <w:i/>
          <w:color w:val="666666"/>
        </w:rPr>
        <w:t xml:space="preserve">Fill in actual incident data. If no incidents occurred this quarter, note "No reportable incidents in this period."</w:t>
      </w:r>
    </w:p>
    <w:p>
      <w:pPr>
        <w:pStyle w:val="Heading3"/>
      </w:pPr>
      <w:r>
        <w:t>Data Subject Access Requests (DSARs)</w:t>
      </w:r>
    </w:p>
    <w:p>
      <w:r>
        <w:rPr>
          <w:sz w:val="20"/>
        </w:rPr>
        <w:t xml:space="preserve">Metric  |  Count</w:t>
      </w:r>
    </w:p>
    <w:p>
      <w:r>
        <w:rPr>
          <w:sz w:val="20"/>
        </w:rPr>
        <w:t xml:space="preserve">DSARs Received  |  [Count]</w:t>
      </w:r>
    </w:p>
    <w:p>
      <w:r>
        <w:rPr>
          <w:sz w:val="20"/>
        </w:rPr>
        <w:t xml:space="preserve">DSARs Completed  |  [Count]</w:t>
      </w:r>
    </w:p>
    <w:p>
      <w:r>
        <w:rPr>
          <w:sz w:val="20"/>
        </w:rPr>
        <w:t xml:space="preserve">Average Response Time  |  [Days]</w:t>
      </w:r>
    </w:p>
    <w:p>
      <w:r>
        <w:rPr>
          <w:sz w:val="20"/>
        </w:rPr>
        <w:t xml:space="preserve">DSARs Pending  |  [Count]</w:t>
      </w:r>
    </w:p>
    <w:p>
      <w:r>
        <w:rPr>
          <w:sz w:val="20"/>
        </w:rPr>
        <w:t xml:space="preserve">Requests Exceeding 30-Day SLA  |  [Count]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7. Strategic Recommendations</w:t>
      </w:r>
    </w:p>
    <w:p>
      <w:pPr>
        <w:pStyle w:val="ListParagraph"/>
        <w:numPr>
          <w:ilvl w:val="0"/>
          <w:numId w:val="2"/>
        </w:numPr>
      </w:pPr>
      <w:r>
        <w:t xml:space="preserve">**Maintain automated compliance scanning** — Continue using Codepliant for ongoing document generation to ensure compliance artifacts stay current with code changes.</w:t>
      </w:r>
    </w:p>
    <w:p>
      <w:pPr>
        <w:pStyle w:val="ListParagraph"/>
        <w:numPr>
          <w:ilvl w:val="0"/>
          <w:numId w:val="2"/>
        </w:numPr>
      </w:pPr>
      <w:r>
        <w:t xml:space="preserve">**Prioritize EU AI Act readiness** — With 1 AI service(s) detected, complete risk classification and establish conformity assessment procedures before enforcement deadlines.</w:t>
      </w:r>
    </w:p>
    <w:p>
      <w:pPr>
        <w:pStyle w:val="ListParagraph"/>
        <w:numPr>
          <w:ilvl w:val="0"/>
          <w:numId w:val="2"/>
        </w:numPr>
      </w:pPr>
      <w:r>
        <w:t xml:space="preserve">**Legal review cycle** — Schedule annual legal review of all auto-generated compliance documents to ensure they reflect current business practices and regulatory requirements.</w:t>
      </w:r>
    </w:p>
    <w:p>
      <w:pPr>
        <w:pStyle w:val="ListParagraph"/>
        <w:numPr>
          <w:ilvl w:val="0"/>
          <w:numId w:val="2"/>
        </w:numPr>
      </w:pPr>
      <w:r>
        <w:t xml:space="preserve">**Board compliance training** — Consider annual board-level compliance awareness briefing to maintain governance effectiveness.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Appendix A: Detected Services</w:t>
      </w:r>
    </w:p>
    <w:p>
      <w:r>
        <w:rPr>
          <w:sz w:val="20"/>
        </w:rPr>
        <w:t xml:space="preserve">#  |  Service  |  Category  |  Data Processor  |  Data Collected</w:t>
      </w:r>
    </w:p>
    <w:p>
      <w:r>
        <w:rPr>
          <w:sz w:val="20"/>
        </w:rPr>
        <w:t xml:space="preserve">1  |  @sentry/node  |  monitoring  |  Yes  |  error data, stack traces, user context +2 more</w:t>
      </w:r>
    </w:p>
    <w:p>
      <w:r>
        <w:rPr>
          <w:sz w:val="20"/>
        </w:rPr>
        <w:t xml:space="preserve">2  |  @supabase/supabase-js  |  auth  |  Yes  |  email, password hash, session data +1 more</w:t>
      </w:r>
    </w:p>
    <w:p>
      <w:r>
        <w:rPr>
          <w:sz w:val="20"/>
        </w:rPr>
        <w:t xml:space="preserve">3  |  openai  |  ai  |  Yes  |  user prompts, conversation history, generated content</w:t>
      </w:r>
    </w:p>
    <w:p>
      <w:r>
        <w:rPr>
          <w:sz w:val="20"/>
        </w:rPr>
        <w:t xml:space="preserve">4  |  posthog  |  analytics  |  Yes  |  user behavior, session recordings, feature flag usage +1 more</w:t>
      </w:r>
    </w:p>
    <w:p>
      <w:r>
        <w:rPr>
          <w:sz w:val="20"/>
        </w:rPr>
        <w:t xml:space="preserve">5  |  prisma  |  database  |  Yes  |  user data as defined in schema</w:t>
      </w:r>
    </w:p>
    <w:p>
      <w:r>
        <w:rPr>
          <w:sz w:val="20"/>
        </w:rPr>
        <w:t xml:space="preserve">6  |  resend  |  email  |  Yes  |  email addresses, email content</w:t>
      </w:r>
    </w:p>
    <w:p>
      <w:r>
        <w:rPr>
          <w:sz w:val="20"/>
        </w:rPr>
        <w:t xml:space="preserve">7  |  stripe  |  payment  |  Yes  |  payment information, billing address, email +1 more</w:t>
      </w:r>
    </w:p>
    <w:p>
      <w:r>
        <w:rPr>
          <w:sz w:val="20"/>
        </w:rPr>
        <w:t xml:space="preserve">8  |  stripe-ios  |  payment  |  Yes  |  payment information, billing address, email +1 more</w:t>
      </w:r>
    </w:p>
    <w:p>
      <w:pPr>
        <w:pBdr>
          <w:bottom w:val="single" w:sz="6" w:space="1" w:color="999999"/>
        </w:pBdr>
      </w:pPr>
    </w:p>
    <w:p>
      <w:r>
        <w:t xml:space="preserve">This board report was generated by [Codepliant](https://github.com/joechensmartz/codepliant) based on automated source code analysis of the nextjs-saas-example codebase (8 services detected). Sections marked with [brackets] require manual input from the compliance team. This report should be reviewed and supplemented with operational data before board presentation. Generated on 2026-03-19.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